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430" w:rsidRDefault="000C0478" w:rsidP="0054721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right="-2432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6C2430" w:rsidRDefault="006C2430" w:rsidP="00547215">
      <w:pPr>
        <w:spacing w:after="200" w:line="276" w:lineRule="auto"/>
        <w:ind w:right="-2715"/>
        <w:jc w:val="left"/>
        <w:rPr>
          <w:rFonts w:ascii="Arial" w:eastAsia="Arial" w:hAnsi="Arial" w:cs="Arial"/>
          <w:b/>
          <w:sz w:val="24"/>
          <w:szCs w:val="24"/>
        </w:rPr>
      </w:pPr>
    </w:p>
    <w:p w:rsidR="003F6DB1" w:rsidRDefault="003F6DB1">
      <w:pPr>
        <w:spacing w:after="200" w:line="276" w:lineRule="auto"/>
        <w:jc w:val="left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Rate Card</w:t>
      </w:r>
    </w:p>
    <w:p w:rsidR="00C80C91" w:rsidRDefault="00C80C91" w:rsidP="00C80C91">
      <w:pPr>
        <w:ind w:right="-1723"/>
        <w:rPr>
          <w:rFonts w:ascii="Arial" w:eastAsia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bCs/>
        </w:rPr>
        <w:t>REDACTED TEXT under FOIA Section 43 Commercial</w:t>
      </w:r>
      <w:r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bCs/>
        </w:rPr>
        <w:t>Interests</w:t>
      </w:r>
    </w:p>
    <w:p w:rsidR="003F6DB1" w:rsidRDefault="003F6DB1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3F6DB1" w:rsidRPr="003F6DB1" w:rsidRDefault="003F6DB1">
      <w:pPr>
        <w:spacing w:after="200" w:line="276" w:lineRule="auto"/>
        <w:jc w:val="left"/>
        <w:rPr>
          <w:rFonts w:ascii="Arial" w:eastAsia="Arial" w:hAnsi="Arial" w:cs="Arial"/>
          <w:b/>
          <w:sz w:val="24"/>
          <w:szCs w:val="24"/>
        </w:rPr>
        <w:sectPr w:rsidR="003F6DB1" w:rsidRPr="003F6DB1" w:rsidSect="003F6DB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4679" w:bottom="1440" w:left="1440" w:header="709" w:footer="709" w:gutter="0"/>
          <w:pgNumType w:start="1"/>
          <w:cols w:space="720"/>
          <w:titlePg/>
        </w:sectPr>
      </w:pPr>
    </w:p>
    <w:tbl>
      <w:tblPr>
        <w:tblW w:w="18020" w:type="dxa"/>
        <w:tblLook w:val="04A0" w:firstRow="1" w:lastRow="0" w:firstColumn="1" w:lastColumn="0" w:noHBand="0" w:noVBand="1"/>
      </w:tblPr>
      <w:tblGrid>
        <w:gridCol w:w="18020"/>
      </w:tblGrid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lastRenderedPageBreak/>
              <w:t>ASSUMPTIONS UNDERPINNING OUR SUBMISSION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General Position</w:t>
            </w:r>
          </w:p>
        </w:tc>
      </w:tr>
      <w:tr w:rsidR="003F6DB1" w:rsidRPr="003F6DB1" w:rsidTr="003F6DB1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Our tender response for this opportunity is made on the following basis and subject to contract via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agreeing an Order Form to create a Call-Off Contract. As the Order Form provided as part of the RFP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is missing many key details, the Supplier would need to discuss the content for this with the Cabinet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Office before it could be agreed. Once we have agreed the call off Contract this proposal can then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constitute an offer open to acceptance.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Start Dates</w:t>
            </w:r>
          </w:p>
        </w:tc>
      </w:tr>
      <w:tr w:rsidR="003F6DB1" w:rsidRPr="003F6DB1" w:rsidTr="003F6DB1">
        <w:trPr>
          <w:trHeight w:val="58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This submission is based on agreeing a 12 month call off contract, this being executed and concluded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in line with the stated Cabinet Office timescales (subject to any agreed extension) and charged for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on a time and materials basis.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Optional Schedules</w:t>
            </w:r>
          </w:p>
        </w:tc>
      </w:tr>
      <w:tr w:rsidR="003F6DB1" w:rsidRPr="003F6DB1" w:rsidTr="003F6DB1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The Supplier notes that the Cabinet Office has included many of the optional schedules in its draft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Order Form and Supplier wishes to discuss the applicability of and content for some of these.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Where any optional schedules are not part of any final Call Off Contract, the Supplier assumes all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other relevant clauses specifically referencing those non-applicable schedules within all other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contract documents shall also be deemed not to apply.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Call Off Schedule 9 (Security)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The Supplier assumes that only part A of Call-Off Schedule 9 (Security) applies.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Data Processing</w:t>
            </w:r>
          </w:p>
        </w:tc>
      </w:tr>
      <w:tr w:rsidR="003F6DB1" w:rsidRPr="003F6DB1" w:rsidTr="003F6DB1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assumes there is no Personal Data processing (within the meaning of GDPR) by us.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Should that not be the case and data processing is expected of us, then we would first need to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agree a populated version of Annex 1 to Joint Schedule 11 (Processing Data). We also assume that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the Cabinet Office is willing to agree a reasonable and appropriate value for any annual liability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cap in respect of data protection in the context of the value of the forecasted charges. 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Call Off Schedule 1 (Transparency Reports)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The Supplier assumes there are no Transparency Reports under Call Off Schedule 1 (Transparency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Reports).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Call Off Schedule 3 (Continuous Improvement)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Supplier assumes there are no continuous improvement obligations under Call Off Schedule 3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Call Off Schedule 10 (Exit Management)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assumes there are no Exit Management Services are required (and if they are then these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will be agreed and be separately chargeable).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Call Off Schedule 13 (Implementation Plan and Testing)</w:t>
            </w:r>
          </w:p>
        </w:tc>
      </w:tr>
      <w:tr w:rsidR="003F6DB1" w:rsidRPr="003F6DB1" w:rsidTr="003F6DB1">
        <w:trPr>
          <w:trHeight w:val="58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assumes there are no Testing Services required as per Call Off Schedule 13 (and if there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are specific testing requirements, these will be agreed as part of the individual engagement and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be separately chargeable).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Acceptance Procedure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The Parties will agree a mutually acceptable Acceptance Procedure for all Deliverables.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TUPE</w:t>
            </w:r>
          </w:p>
        </w:tc>
      </w:tr>
      <w:tr w:rsidR="003F6DB1" w:rsidRPr="003F6DB1" w:rsidTr="003F6DB1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assumes there are no individuals employed or engaged (either directly, as a subcontractor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or via any third party) by the Cabinet Office that will be subject to TUPE or other such ARD type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legislation in connection with this call off contract, which may cause the Supplier unforeseen costs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or may otherwise claim employment rights with the Supplier.  Supplier also assumes that it will be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able to pass back any such TUPE/ARD or HR costs, associated with the previous assumption, to the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Cabinet Office.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Applicable Laws</w:t>
            </w:r>
          </w:p>
        </w:tc>
      </w:tr>
      <w:tr w:rsidR="003F6DB1" w:rsidRPr="003F6DB1" w:rsidTr="003F6DB1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lastRenderedPageBreak/>
              <w:t xml:space="preserve">The Supplier would require the Cabinet Office to notify the Supplier of laws it requires the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to comply with​. The Laws that apply to the Supplier in performing the Services are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those which apply to the Supplier as a technology and consulting services provider. Supplier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would require the Cabinet Office to provide, in its Statement of Requirements, any other Laws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that may apply and shall advise us in writing of the processes and procedures with which it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requires us to adhere to comply with such other Laws.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Government Data Definition</w:t>
            </w:r>
          </w:p>
        </w:tc>
      </w:tr>
      <w:tr w:rsidR="003F6DB1" w:rsidRPr="003F6DB1" w:rsidTr="003F6DB1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The definition of ‘Government Data’ only applies to anything material to the Services / Deliverables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(e.g., code, documentation, your data), and not incidentals (e.g., working papers, organisation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charts, etc.). The BDA obligations appearing to include ‘backup’ of Government Data are unclear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and would be onerous if the definition was interpreted broadly and to include general / incidental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materials on our systems.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Remote Working</w:t>
            </w:r>
          </w:p>
        </w:tc>
      </w:tr>
      <w:tr w:rsidR="003F6DB1" w:rsidRPr="003F6DB1" w:rsidTr="003F6DB1">
        <w:trPr>
          <w:trHeight w:val="58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Notwithstanding anything to the contrary in the Call Off Contract, the Services may (at the Supplier’s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discretion) be performed by Supplier Staff working from their homes and/or any Supplier offices,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and the Cabinet Office agrees that any rights of access it or third parties may have to the premises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where the Services are provided from do not extend to Supplier Staff’s homes.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Cabinet Office Equipment</w:t>
            </w:r>
          </w:p>
        </w:tc>
      </w:tr>
      <w:tr w:rsidR="003F6DB1" w:rsidRPr="003F6DB1" w:rsidTr="003F6DB1">
        <w:trPr>
          <w:trHeight w:val="87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The Supplier is assuming that all work will be conducted on Cabinet Office equipment (laptops etc.)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and infrastructure and the Cabinet Office shall provide all software, licensing, equipment,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infrastructure, remote access to systems, security controls, documentation and environments as </w:t>
            </w:r>
          </w:p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necessary to enable the Supplier to provide the Services and to ensure that the Cabinet Office has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in place all supporting consents, approvals and permissions.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Guarantee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assumes there will not be the need for any form of guarantee (considering the size and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financial standing of the Supplier).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De Minimis Liability Limits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assumes the Cabinet Office will agree to a reduced de minimis (under clause 11.2) in line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with the expected revenue.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</w:pPr>
            <w:r w:rsidRPr="003F6DB1">
              <w:rPr>
                <w:rFonts w:ascii="Calibri" w:hAnsi="Calibri" w:cs="Calibri"/>
                <w:b/>
                <w:bCs/>
                <w:color w:val="000000"/>
                <w:u w:val="single"/>
                <w:lang w:eastAsia="en-GB"/>
              </w:rPr>
              <w:t>Additional Insurances</w:t>
            </w:r>
          </w:p>
        </w:tc>
      </w:tr>
      <w:tr w:rsidR="003F6DB1" w:rsidRPr="003F6DB1" w:rsidTr="003F6DB1">
        <w:trPr>
          <w:trHeight w:val="290"/>
        </w:trPr>
        <w:tc>
          <w:tcPr>
            <w:tcW w:w="1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 xml:space="preserve">Supplier assumes there will be no requirement for additional insurances over and above those </w:t>
            </w:r>
          </w:p>
          <w:p w:rsidR="003F6DB1" w:rsidRPr="003F6DB1" w:rsidRDefault="003F6DB1" w:rsidP="003F6DB1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F6DB1">
              <w:rPr>
                <w:rFonts w:ascii="Calibri" w:hAnsi="Calibri" w:cs="Calibri"/>
                <w:color w:val="000000"/>
                <w:lang w:eastAsia="en-GB"/>
              </w:rPr>
              <w:t>already provided under RM6195.</w:t>
            </w:r>
          </w:p>
        </w:tc>
      </w:tr>
    </w:tbl>
    <w:p w:rsidR="003F6DB1" w:rsidRDefault="003F6DB1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3F6DB1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0E0" w:rsidRDefault="003530E0">
      <w:pPr>
        <w:spacing w:after="0" w:line="240" w:lineRule="auto"/>
      </w:pPr>
      <w:r>
        <w:separator/>
      </w:r>
    </w:p>
  </w:endnote>
  <w:endnote w:type="continuationSeparator" w:id="0">
    <w:p w:rsidR="003530E0" w:rsidRDefault="00353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430" w:rsidRDefault="006C243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6C2430" w:rsidRDefault="000C047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6C2430" w:rsidRDefault="000C047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430" w:rsidRDefault="006C243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6C2430" w:rsidRDefault="000C04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RM6195</w:t>
    </w:r>
  </w:p>
  <w:p w:rsidR="006C2430" w:rsidRDefault="000C04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6C2430" w:rsidRDefault="000C04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0E0" w:rsidRDefault="003530E0">
      <w:pPr>
        <w:spacing w:after="0" w:line="240" w:lineRule="auto"/>
      </w:pPr>
      <w:r>
        <w:separator/>
      </w:r>
    </w:p>
  </w:footnote>
  <w:footnote w:type="continuationSeparator" w:id="0">
    <w:p w:rsidR="003530E0" w:rsidRDefault="00353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430" w:rsidRDefault="000C047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0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C2430" w:rsidRDefault="000C047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6C2430" w:rsidRDefault="006C243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430" w:rsidRDefault="000C047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6C2430" w:rsidRDefault="000C047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6C2430" w:rsidRDefault="000C047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6C2430" w:rsidRDefault="006C243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5F716C"/>
    <w:multiLevelType w:val="multilevel"/>
    <w:tmpl w:val="287ECA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430"/>
    <w:rsid w:val="000C0478"/>
    <w:rsid w:val="003530E0"/>
    <w:rsid w:val="003F6DB1"/>
    <w:rsid w:val="0047648C"/>
    <w:rsid w:val="00547215"/>
    <w:rsid w:val="006C2430"/>
    <w:rsid w:val="00AA2106"/>
    <w:rsid w:val="00C80C91"/>
    <w:rsid w:val="00D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1E5AF"/>
  <w15:docId w15:val="{6E6A8388-E607-496C-891E-FE109848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8I5QEZXSyJghiOUdkGCYZlnI9w==">AMUW2mU4aReFVRW3jeLx4gFgoZndY9kGZqPq13UwG5sAPN+TfIyGR4YV9EedCY9UtI9mmroP1vQY8PHUo0y7Ll894ONT9ZSefCiUa7l+8sjJcOqIjQ0ToJnzXsKiDo8qos2LbsRV5fGR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Megan Lancaster</cp:lastModifiedBy>
  <cp:revision>5</cp:revision>
  <dcterms:created xsi:type="dcterms:W3CDTF">2018-08-17T10:46:00Z</dcterms:created>
  <dcterms:modified xsi:type="dcterms:W3CDTF">2023-05-18T10:42:00Z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